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Assunto:</w:t>
      </w:r>
      <w:r w:rsidDel="00000000" w:rsidR="00000000" w:rsidRPr="00000000">
        <w:rPr>
          <w:rtl w:val="0"/>
        </w:rPr>
        <w:t xml:space="preserve"> Solicitação de aprovação para participar da </w:t>
      </w:r>
      <w:r w:rsidDel="00000000" w:rsidR="00000000" w:rsidRPr="00000000">
        <w:rPr>
          <w:b w:val="1"/>
          <w:bCs w:val="1"/>
          <w:rtl w:val="0"/>
        </w:rPr>
        <w:t xml:space="preserve">Conferência Gartner Segurança &amp; Gestão de Risco 2026, nos dias 4 e 5 de agosto, em São Paulo.</w:t>
      </w:r>
    </w:p>
    <w:p w:rsidR="00000000" w:rsidDel="00000000" w:rsidP="00000000" w:rsidRDefault="00000000" w:rsidRPr="00000000" w14:paraId="00000002">
      <w:pPr>
        <w:rPr>
          <w:color w:val="ff0000"/>
        </w:rPr>
      </w:pPr>
      <w:r w:rsidDel="00000000" w:rsidR="00000000" w:rsidRPr="00000000">
        <w:rPr>
          <w:rtl w:val="0"/>
        </w:rPr>
        <w:t xml:space="preserve">Olá, </w:t>
      </w:r>
      <w:r w:rsidDel="00000000" w:rsidR="00000000" w:rsidRPr="00000000">
        <w:rPr>
          <w:color w:val="ff0000"/>
          <w:rtl w:val="0"/>
        </w:rPr>
        <w:t xml:space="preserve">[NOME],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Gostaria de solicitar sua aprovação para participar da </w:t>
      </w:r>
      <w:hyperlink r:id="rId7">
        <w:r w:rsidDel="00000000" w:rsidR="00000000" w:rsidRPr="00000000">
          <w:rPr>
            <w:b w:val="1"/>
            <w:bCs w:val="1"/>
            <w:color w:val="1155cc"/>
            <w:rtl w:val="0"/>
          </w:rPr>
          <w:t xml:space="preserve">Conferência Gartner Segurança &amp; Gestão de Risco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hyperlink r:id="rId8">
        <w:r w:rsidDel="00000000" w:rsidR="00000000" w:rsidRPr="00000000">
          <w:rPr>
            <w:b w:val="1"/>
            <w:bCs w:val="1"/>
            <w:color w:val="1155cc"/>
            <w:rtl w:val="0"/>
          </w:rPr>
          <w:t xml:space="preserve">2026</w:t>
        </w:r>
      </w:hyperlink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que será realizada nos dias 4 e 5 de agosto, em São Paulo.</w:t>
      </w:r>
      <w:r w:rsidDel="00000000" w:rsidR="00000000" w:rsidRPr="00000000">
        <w:rPr>
          <w:rtl w:val="0"/>
        </w:rPr>
        <w:t xml:space="preserve"> Este evento anual do Gartner, de dois dias, voltado para profissionais de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&lt;função/cargo&gt;</w:t>
      </w:r>
      <w:r w:rsidDel="00000000" w:rsidR="00000000" w:rsidRPr="00000000">
        <w:rPr>
          <w:i w:val="1"/>
          <w:i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é uma excelente oportunidade para conhecer as tecnologias mais recentes, discutir boas práticas com líderes do setor e participar de reuniões individuais (One-On-One) com especialistas do Gartner para aprimorar nossas estratégias e iniciativas prioritárias.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Também terei a oportunidade de fazer networking com outros profissionais para entender como estão conduzindo seus projetos, além de conhecer fornecedores de soluções inovadoras, acompanhar demonstrações de seus produtos e avaliar opções alinhadas aos nossos objetivos.</w:t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rtl w:val="0"/>
        </w:rPr>
        <w:t xml:space="preserve">O valor do ingresso para a conferência é de </w:t>
      </w:r>
      <w:r w:rsidDel="00000000" w:rsidR="00000000" w:rsidRPr="00000000">
        <w:rPr>
          <w:b w:val="1"/>
          <w:bCs w:val="1"/>
          <w:rtl w:val="0"/>
        </w:rPr>
        <w:t xml:space="preserve">R$ 14.350</w:t>
      </w:r>
      <w:r w:rsidDel="00000000" w:rsidR="00000000" w:rsidRPr="00000000">
        <w:rPr>
          <w:rtl w:val="0"/>
        </w:rPr>
        <w:t xml:space="preserve">, mas </w:t>
      </w:r>
      <w:r w:rsidDel="00000000" w:rsidR="00000000" w:rsidRPr="00000000">
        <w:rPr>
          <w:color w:val="ff0000"/>
          <w:rtl w:val="0"/>
        </w:rPr>
        <w:t xml:space="preserve">[Insira uma das opções abaixo]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Opção A: </w:t>
      </w:r>
      <w:r w:rsidDel="00000000" w:rsidR="00000000" w:rsidRPr="00000000">
        <w:rPr>
          <w:rtl w:val="0"/>
        </w:rPr>
        <w:t xml:space="preserve">pode ser reduzido por meio de ticket pré-pago do Gartner.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Opção B: </w:t>
      </w:r>
      <w:r w:rsidDel="00000000" w:rsidR="00000000" w:rsidRPr="00000000">
        <w:rPr>
          <w:rtl w:val="0"/>
        </w:rPr>
        <w:t xml:space="preserve">pode ser significativamente reduzido pela inscrição por meio de um representante de vendas do Gartner.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Opção C: </w:t>
      </w:r>
      <w:r w:rsidDel="00000000" w:rsidR="00000000" w:rsidRPr="00000000">
        <w:rPr>
          <w:rtl w:val="0"/>
        </w:rPr>
        <w:t xml:space="preserve">para organizações do setor público, é reduzida para </w:t>
      </w:r>
      <w:r w:rsidDel="00000000" w:rsidR="00000000" w:rsidRPr="00000000">
        <w:rPr>
          <w:b w:val="1"/>
          <w:bCs w:val="1"/>
          <w:rtl w:val="0"/>
        </w:rPr>
        <w:t xml:space="preserve">R$ 11.975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Opção D: </w:t>
      </w:r>
      <w:r w:rsidDel="00000000" w:rsidR="00000000" w:rsidRPr="00000000">
        <w:rPr>
          <w:rtl w:val="0"/>
        </w:rPr>
        <w:t xml:space="preserve">pode ser reduzida para </w:t>
      </w:r>
      <w:r w:rsidDel="00000000" w:rsidR="00000000" w:rsidRPr="00000000">
        <w:rPr>
          <w:b w:val="1"/>
          <w:bCs w:val="1"/>
          <w:rtl w:val="0"/>
        </w:rPr>
        <w:t xml:space="preserve">R$ 12.600</w:t>
      </w:r>
      <w:r w:rsidDel="00000000" w:rsidR="00000000" w:rsidRPr="00000000">
        <w:rPr>
          <w:rtl w:val="0"/>
        </w:rPr>
        <w:t xml:space="preserve"> por meio do preço antecipado até o dia </w:t>
      </w:r>
      <w:r w:rsidDel="00000000" w:rsidR="00000000" w:rsidRPr="00000000">
        <w:rPr>
          <w:b w:val="1"/>
          <w:bCs w:val="1"/>
          <w:rtl w:val="0"/>
        </w:rPr>
        <w:t xml:space="preserve">12 de junho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18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se enviarmos um time, poderemos obter um desconto significativo para inscrições em grupo.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Abaixo, segue uma visão de como algumas sessões se conectam diretamente com as iniciativas nas quais estamos trabalhando:</w:t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Sua iniciativa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Sessão/Vertente 1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Sessão/Vertente 2</w:t>
      </w:r>
    </w:p>
    <w:p w:rsidR="00000000" w:rsidDel="00000000" w:rsidP="00000000" w:rsidRDefault="00000000" w:rsidRPr="00000000" w14:paraId="0000000F">
      <w:pPr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Sua iniciativa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Sessão/Vertente 1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Sessão/Vertente 2</w:t>
      </w:r>
    </w:p>
    <w:p w:rsidR="00000000" w:rsidDel="00000000" w:rsidP="00000000" w:rsidRDefault="00000000" w:rsidRPr="00000000" w14:paraId="00000012">
      <w:pPr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Sua iniciativa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Sessão/Vertente 1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Sessão/Vertente 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Após a conferência, pretendo compartilhar um resumo detalhado com os principais aprendizados, melhores práticas e recomendações para apoiar as prioridades do time. </w:t>
      </w:r>
    </w:p>
    <w:p w:rsidR="00000000" w:rsidDel="00000000" w:rsidP="00000000" w:rsidRDefault="00000000" w:rsidRPr="00000000" w14:paraId="00000016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Veja alguns depoimentos de participantes de edições anteriores:</w:t>
      </w: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i w:val="1"/>
          <w:iCs w:val="1"/>
          <w:color w:val="7030a0"/>
          <w:rtl w:val="0"/>
        </w:rPr>
        <w:t xml:space="preserve">“Um evento de altíssimo nível, que conectou especialistas de renome a temas críticos para o cenário atual de segurança. As discussões e os insights compartilhados foram fundamentais para o refinamento da nossa estratégia de cibersegurança, nos fornecendo uma visão mais clara dos próximos passos.”</w:t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Júlio Lorenz, CISO, Banrisul.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i w:val="1"/>
          <w:iCs w:val="1"/>
          <w:color w:val="7030a0"/>
          <w:rtl w:val="0"/>
        </w:rPr>
        <w:t xml:space="preserve">“Um evento extraordinário que traz insights relevantes de segurança e promoção de networks com profissionais dos mais diversos segmentos! A cada evento somos desafiados a elevar ainda mais o nível em nossas empresas!”</w:t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Judson Silva, Gerente de TI, Findes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Por favor, indique se você tiver dúvidas adicionais ou se desejar mais informações. O site da conferência pode ser encontrado aqui: </w:t>
      </w:r>
      <w:hyperlink r:id="rId9">
        <w:r w:rsidDel="00000000" w:rsidR="00000000" w:rsidRPr="00000000">
          <w:rPr>
            <w:b w:val="1"/>
            <w:bCs w:val="1"/>
            <w:color w:val="1155cc"/>
            <w:rtl w:val="0"/>
          </w:rPr>
          <w:t xml:space="preserve">Conferência Gartner Segurança &amp; Gestão de Risco</w:t>
        </w:r>
      </w:hyperlink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Estou solicitando sua aprovação para a taxa de inscrição e despesas de viagem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(caso aplicável)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Agradeço a sua consideração!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D">
      <w:pPr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Seu nome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50ED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50ED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50ED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50ED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50ED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50ED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50ED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850ED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50ED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50ED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50ED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50ED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50ED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50ED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50ED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50ED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50ED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50ED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50ED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0ED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50ED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94C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94C0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artner.com/pt-br/conferences/la/security-risk-management-brazi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artner.com/pt-br/conferences/la/security-risk-management-brazil" TargetMode="External"/><Relationship Id="rId8" Type="http://schemas.openxmlformats.org/officeDocument/2006/relationships/hyperlink" Target="https://www.gartner.com/pt-br/conferences/la/security-risk-management-brazi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Ajrp9hOIJGrF62Mp53nvyepVQ==">CgMxLjA4AHIhMUI2SVd1OE9LVWFTZVZZOVhwWEZtaGVUVUlHT3ZHMWtw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2025-11-27T17:18:00Z</dcterms:created>
  <dc:creator>Ritika Srivastava</dc:creator>
</cp:coreProperties>
</file>